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Reference value interpretatio of Anti-mullerian hormone (AMH)</w:t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AMH level for healthy women: AMH is negatively correlated with age [1]</w:t>
      </w:r>
    </w:p>
    <w:tbl>
      <w:tblPr>
        <w:tblStyle w:val="5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1410"/>
        <w:gridCol w:w="1335"/>
        <w:gridCol w:w="1365"/>
        <w:gridCol w:w="127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hint="default" w:ascii="Times New Roman" w:hAnsi="Times New Roman" w:cs="Times New Roman" w:eastAsiaTheme="maj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lang w:val="en-US" w:eastAsia="zh-CN"/>
              </w:rPr>
              <w:t>Age</w:t>
            </w:r>
          </w:p>
        </w:tc>
        <w:tc>
          <w:tcPr>
            <w:tcW w:w="1410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&lt;30</w:t>
            </w:r>
          </w:p>
        </w:tc>
        <w:tc>
          <w:tcPr>
            <w:tcW w:w="133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31–35</w:t>
            </w:r>
          </w:p>
        </w:tc>
        <w:tc>
          <w:tcPr>
            <w:tcW w:w="136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36–40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41–45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46–50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AMH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reference value</w:t>
            </w:r>
          </w:p>
        </w:tc>
        <w:tc>
          <w:tcPr>
            <w:tcW w:w="1410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2.50-6.30</w:t>
            </w:r>
          </w:p>
        </w:tc>
        <w:tc>
          <w:tcPr>
            <w:tcW w:w="133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1.88-6.08</w:t>
            </w:r>
          </w:p>
        </w:tc>
        <w:tc>
          <w:tcPr>
            <w:tcW w:w="136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1.71-5.30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0.78-3.56</w:t>
            </w:r>
          </w:p>
        </w:tc>
        <w:tc>
          <w:tcPr>
            <w:tcW w:w="1635" w:type="dxa"/>
          </w:tcPr>
          <w:p>
            <w:pPr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/>
              </w:rPr>
              <w:t>0.76-2.80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</w:t>
      </w:r>
      <w:r>
        <w:rPr>
          <w:rFonts w:hint="eastAsia" w:ascii="Times New Roman" w:hAnsi="Times New Roman" w:cs="Times New Roman"/>
          <w:lang w:val="en-US" w:eastAsia="zh-CN"/>
        </w:rPr>
        <w:t>AMH and ovarian related diseases</w:t>
      </w:r>
    </w:p>
    <w:tbl>
      <w:tblPr>
        <w:tblStyle w:val="5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ovarian related diseases</w:t>
            </w:r>
          </w:p>
        </w:tc>
        <w:tc>
          <w:tcPr>
            <w:tcW w:w="4958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Value of </w:t>
            </w:r>
            <w:r>
              <w:rPr>
                <w:rFonts w:ascii="Times New Roman" w:hAnsi="Times New Roman" w:cs="Times New Roman"/>
              </w:rPr>
              <w:t>AMH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Premature ovarian failure (low ovarian reserve)</w:t>
            </w:r>
          </w:p>
        </w:tc>
        <w:tc>
          <w:tcPr>
            <w:tcW w:w="495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AMH value is lower than the normal reference value of the corresponding 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261" w:type="dxa"/>
            <w:vMerge w:val="restart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Polycystic ovary syndrome (PCOS)</w:t>
            </w:r>
          </w:p>
        </w:tc>
        <w:tc>
          <w:tcPr>
            <w:tcW w:w="495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AMH&gt;8.40ng/ml，</w:t>
            </w:r>
            <w:r>
              <w:rPr>
                <w:rFonts w:hint="eastAsia" w:ascii="Times New Roman" w:hAnsi="Times New Roman" w:cs="Times New Roman"/>
              </w:rPr>
              <w:t>Overseas data[2]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261" w:type="dxa"/>
            <w:vMerge w:val="continue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495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AMH&gt;6.99ng/ml，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Date of Zhongxin huya hospital </w:t>
            </w:r>
            <w:r>
              <w:rPr>
                <w:rFonts w:ascii="Times New Roman" w:hAnsi="Times New Roman" w:cs="Times New Roman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261" w:type="dxa"/>
          </w:tcPr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menopause</w:t>
            </w:r>
          </w:p>
        </w:tc>
        <w:tc>
          <w:tcPr>
            <w:tcW w:w="495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AMH below detection limit</w:t>
            </w:r>
            <w:r>
              <w:rPr>
                <w:rFonts w:ascii="Times New Roman" w:hAnsi="Times New Roman" w:cs="Times New Roman"/>
              </w:rPr>
              <w:t>[4]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3、</w:t>
      </w:r>
      <w:r>
        <w:rPr>
          <w:rFonts w:hint="eastAsia" w:ascii="Times New Roman" w:hAnsi="Times New Roman" w:cs="Times New Roman"/>
        </w:rPr>
        <w:t>AMH predicting ovarian responsiveness</w:t>
      </w:r>
    </w:p>
    <w:tbl>
      <w:tblPr>
        <w:tblStyle w:val="5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Ovarian reactivity</w:t>
            </w:r>
          </w:p>
        </w:tc>
        <w:tc>
          <w:tcPr>
            <w:tcW w:w="500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Value of </w:t>
            </w:r>
            <w:r>
              <w:rPr>
                <w:rFonts w:ascii="Times New Roman" w:hAnsi="Times New Roman" w:cs="Times New Roman"/>
              </w:rPr>
              <w:t>AMH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Projection of low response</w:t>
            </w:r>
          </w:p>
        </w:tc>
        <w:tc>
          <w:tcPr>
            <w:tcW w:w="500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AMH＜0.5-1.1ng/ml，中华医学会生殖医学分会《2015年 卵巢低反应专家共识》[5]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261" w:type="dxa"/>
            <w:vMerge w:val="restart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Projection of high response</w:t>
            </w:r>
          </w:p>
        </w:tc>
        <w:tc>
          <w:tcPr>
            <w:tcW w:w="500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AMH&gt;3.36ng/ml，</w:t>
            </w:r>
            <w:r>
              <w:rPr>
                <w:rFonts w:hint="eastAsia" w:ascii="Times New Roman" w:hAnsi="Times New Roman" w:cs="Times New Roman"/>
              </w:rPr>
              <w:t>Overseas data</w:t>
            </w:r>
            <w:r>
              <w:rPr>
                <w:rFonts w:ascii="Times New Roman" w:hAnsi="Times New Roman" w:cs="Times New Roman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26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AMH&gt;4.17ng/ml，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Date of Zhongshan 2nd hospital </w:t>
            </w:r>
            <w:r>
              <w:rPr>
                <w:rFonts w:ascii="Times New Roman" w:hAnsi="Times New Roman" w:cs="Times New Roman"/>
              </w:rPr>
              <w:t>[7]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4、</w:t>
      </w:r>
      <w:r>
        <w:rPr>
          <w:rFonts w:hint="eastAsia" w:ascii="Times New Roman" w:hAnsi="Times New Roman" w:cs="Times New Roman"/>
        </w:rPr>
        <w:t>Reference values for healthy men</w:t>
      </w:r>
    </w:p>
    <w:tbl>
      <w:tblPr>
        <w:tblStyle w:val="5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ajorEastAsia"/>
                <w:lang w:val="en-US" w:eastAsia="zh-CN"/>
              </w:rPr>
              <w:t>Age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20-60</w:t>
            </w:r>
          </w:p>
        </w:tc>
        <w:tc>
          <w:tcPr>
            <w:tcW w:w="36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value</w:t>
            </w:r>
            <w:r>
              <w:rPr>
                <w:rFonts w:ascii="Times New Roman" w:hAnsi="Times New Roman" w:cs="Times New Roman"/>
              </w:rPr>
              <w:t>（ng/ml）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1.45-18.77</w:t>
            </w:r>
          </w:p>
        </w:tc>
        <w:tc>
          <w:tcPr>
            <w:tcW w:w="36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0.34-9.38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Reference documents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[1] La Marca A, Sighinolfi G, Giulini S, et al. Normal serum concentrations of anti-Mullerian hormone in women with regular menstrual cycles[J]. Reprod Biomed Online,2010,21(4):463-469;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[2] Pigny, P; Jonard, S; Robert, Y, et al. Serum Anti-Müllerian Hormone as a Surrogate for Antral Follicle Count for Definition of the Polycystic Ovary Syndrome[J], Obstetrical &amp; Gynecological Survey, 2006, 61(8):522-523;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[3]</w:t>
      </w:r>
      <w:r>
        <w:rPr>
          <w:rFonts w:hint="eastAsia" w:ascii="Times New Roman" w:hAnsi="Times New Roman" w:cs="Times New Roman"/>
        </w:rPr>
        <w:t>Xiong Ziwei, Hu Jian, Chen Yuyu, etc. Anti-Mueller's Tube Hormone in the Diagnosis of Polycystic Ovarian Syndrome J]. Journal of Molecular Imaging ,2015,38(2):80-83;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[4] Knauff E A, Eijkemans M J, Lambalk C B, et al. Anti-Mullerian hormone, inhibin B, and antral follicle count in young women with ovarian failure[J]. J Clin Endocrinol Metab</w:t>
      </w:r>
      <w:r>
        <w:rPr>
          <w:rFonts w:hint="eastAsia"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2009,94(3):786-792;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[5]</w:t>
      </w:r>
      <w:r>
        <w:rPr>
          <w:rFonts w:hint="eastAsia" w:ascii="Times New Roman" w:hAnsi="Times New Roman" w:cs="Times New Roman"/>
        </w:rPr>
        <w:t>Wu Xueqing, Kong Rui, Tian Li. Ovarian low reaction expert consensus. Reproduction and contraception ,2015,2:71-79;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[6] Lee TH, Liu CH, Huang CC, et al. Serum anti-mu¨llerian hormone and estradiol levels as predictors of ovarian hyperstimulation syndrome in assisted reproduction technology cycles[J]. Human Reproduction,2008,23(1):160–167;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[7] </w:t>
      </w:r>
      <w:r>
        <w:rPr>
          <w:rFonts w:hint="eastAsia" w:ascii="Times New Roman" w:hAnsi="Times New Roman" w:cs="Times New Roman"/>
        </w:rPr>
        <w:t>Tan Jia-qi, Chen Xiaoli, Li Yu, et al. A study on the value of anti-Müllerian hormone in predicting ovarian reactivity [J].]; and Journal of Practical Obstetrics and Gynecology ,2015,31(8):583-586.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A00B8"/>
    <w:multiLevelType w:val="singleLevel"/>
    <w:tmpl w:val="830A00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57BF"/>
    <w:rsid w:val="000C32F6"/>
    <w:rsid w:val="00294231"/>
    <w:rsid w:val="002F69E8"/>
    <w:rsid w:val="0031260B"/>
    <w:rsid w:val="003E05C4"/>
    <w:rsid w:val="003F0B84"/>
    <w:rsid w:val="006D1E41"/>
    <w:rsid w:val="00754E42"/>
    <w:rsid w:val="008C214A"/>
    <w:rsid w:val="009D232D"/>
    <w:rsid w:val="00B94073"/>
    <w:rsid w:val="00BA1161"/>
    <w:rsid w:val="00CB57BF"/>
    <w:rsid w:val="00D311B1"/>
    <w:rsid w:val="563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1271</Characters>
  <Lines>10</Lines>
  <Paragraphs>2</Paragraphs>
  <TotalTime>2</TotalTime>
  <ScaleCrop>false</ScaleCrop>
  <LinksUpToDate>false</LinksUpToDate>
  <CharactersWithSpaces>1491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2016-12-26T02:46:00Z</dcterms:created>
  <dc:creator>dcsw</dc:creator>
  <cp:lastModifiedBy>Administrator</cp:lastModifiedBy>
  <dcterms:modified xsi:type="dcterms:W3CDTF">2020-11-20T06:35:27Z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